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0A6DF" w14:textId="5B4B25CC" w:rsidR="00962389" w:rsidRPr="00496E83" w:rsidRDefault="001759E9">
      <w:pPr>
        <w:rPr>
          <w:b/>
          <w:bCs/>
          <w:u w:val="single"/>
        </w:rPr>
      </w:pPr>
      <w:r w:rsidRPr="00496E83">
        <w:rPr>
          <w:b/>
          <w:bCs/>
          <w:u w:val="single"/>
        </w:rPr>
        <w:t>Question:</w:t>
      </w:r>
    </w:p>
    <w:p w14:paraId="3CD51971" w14:textId="77777777" w:rsidR="001759E9" w:rsidRPr="001759E9" w:rsidRDefault="001759E9" w:rsidP="001759E9">
      <w:r w:rsidRPr="001759E9">
        <w:t>For pediatric audiologists working in a hospital/NICU setting:</w:t>
      </w:r>
    </w:p>
    <w:p w14:paraId="52E52088" w14:textId="77777777" w:rsidR="00496E83" w:rsidRDefault="001759E9" w:rsidP="001759E9">
      <w:r w:rsidRPr="001759E9">
        <w:t xml:space="preserve">Do you rescreen hearing on babies with a risk factor of hyperbilirubinemia (who previously passed their UNHS)? </w:t>
      </w:r>
    </w:p>
    <w:p w14:paraId="563DD1E6" w14:textId="3B1DF4DF" w:rsidR="001759E9" w:rsidRPr="001759E9" w:rsidRDefault="001759E9" w:rsidP="001759E9">
      <w:r w:rsidRPr="001759E9">
        <w:t xml:space="preserve">What are your criteria for rescreening (certain </w:t>
      </w:r>
      <w:proofErr w:type="spellStart"/>
      <w:r w:rsidRPr="001759E9">
        <w:t>bili</w:t>
      </w:r>
      <w:proofErr w:type="spellEnd"/>
      <w:r w:rsidRPr="001759E9">
        <w:t xml:space="preserve"> level?) or completing diagnostic ABRs on babies with hyperbilirubinemia?</w:t>
      </w:r>
    </w:p>
    <w:p w14:paraId="100DBC9C" w14:textId="32E429EB" w:rsidR="001759E9" w:rsidRPr="00496E83" w:rsidRDefault="001759E9">
      <w:pPr>
        <w:rPr>
          <w:b/>
          <w:bCs/>
          <w:u w:val="single"/>
        </w:rPr>
      </w:pPr>
      <w:r w:rsidRPr="00496E83">
        <w:rPr>
          <w:b/>
          <w:bCs/>
          <w:u w:val="single"/>
        </w:rPr>
        <w:t>Responses:</w:t>
      </w:r>
    </w:p>
    <w:tbl>
      <w:tblPr>
        <w:tblStyle w:val="TableGrid"/>
        <w:tblW w:w="0" w:type="auto"/>
        <w:tblLook w:val="04A0" w:firstRow="1" w:lastRow="0" w:firstColumn="1" w:lastColumn="0" w:noHBand="0" w:noVBand="1"/>
      </w:tblPr>
      <w:tblGrid>
        <w:gridCol w:w="4675"/>
        <w:gridCol w:w="4675"/>
      </w:tblGrid>
      <w:tr w:rsidR="001759E9" w14:paraId="3FFC0B60" w14:textId="77777777" w:rsidTr="001759E9">
        <w:tc>
          <w:tcPr>
            <w:tcW w:w="4675" w:type="dxa"/>
          </w:tcPr>
          <w:p w14:paraId="1802088A" w14:textId="6A15054C" w:rsidR="001759E9" w:rsidRDefault="007730FC" w:rsidP="001759E9">
            <w:r>
              <w:t>ORG A</w:t>
            </w:r>
          </w:p>
        </w:tc>
        <w:tc>
          <w:tcPr>
            <w:tcW w:w="4675" w:type="dxa"/>
          </w:tcPr>
          <w:p w14:paraId="2F6899D9" w14:textId="3A560676" w:rsidR="001759E9" w:rsidRPr="001759E9" w:rsidRDefault="001759E9" w:rsidP="001759E9">
            <w:r w:rsidRPr="001759E9">
              <w:t xml:space="preserve">At </w:t>
            </w:r>
            <w:r w:rsidR="007730FC">
              <w:t>ORG A</w:t>
            </w:r>
            <w:r w:rsidRPr="001759E9">
              <w:t xml:space="preserve">, we perform diagnostic ABRs at bedside in the NICU/PICU on infants who have been readmitted with hyperbilirubinemia at exchange level-if they received an exchange or not. </w:t>
            </w:r>
          </w:p>
          <w:p w14:paraId="5AE2DA1F" w14:textId="77777777" w:rsidR="001759E9" w:rsidRPr="001759E9" w:rsidRDefault="001759E9" w:rsidP="001759E9"/>
          <w:p w14:paraId="4BD6AB42" w14:textId="77777777" w:rsidR="001759E9" w:rsidRPr="001759E9" w:rsidRDefault="001759E9" w:rsidP="001759E9">
            <w:r w:rsidRPr="001759E9">
              <w:t xml:space="preserve">If an infant is readmitted for hyperbilirubinemia but they do not meet exchange level, then they do not receive another test (no re-screening or diagnostic hearing test). </w:t>
            </w:r>
          </w:p>
          <w:p w14:paraId="210E6316" w14:textId="77777777" w:rsidR="001759E9" w:rsidRDefault="001759E9" w:rsidP="001759E9"/>
        </w:tc>
      </w:tr>
      <w:tr w:rsidR="001759E9" w14:paraId="4BBA3484" w14:textId="77777777" w:rsidTr="001759E9">
        <w:tc>
          <w:tcPr>
            <w:tcW w:w="4675" w:type="dxa"/>
          </w:tcPr>
          <w:p w14:paraId="434D272F" w14:textId="10F0E00F" w:rsidR="001759E9" w:rsidRDefault="007730FC" w:rsidP="001759E9">
            <w:r>
              <w:t>ORG B</w:t>
            </w:r>
          </w:p>
        </w:tc>
        <w:tc>
          <w:tcPr>
            <w:tcW w:w="4675" w:type="dxa"/>
          </w:tcPr>
          <w:p w14:paraId="35771FDE" w14:textId="77777777" w:rsidR="001759E9" w:rsidRPr="001759E9" w:rsidRDefault="001759E9" w:rsidP="001759E9">
            <w:pPr>
              <w:rPr>
                <w:color w:val="FF0000"/>
              </w:rPr>
            </w:pPr>
            <w:r w:rsidRPr="001759E9">
              <w:t xml:space="preserve">Do you rescreen hearing on babies with a risk factor of hyperbilirubinemia (who previously passed their UNHS)?  </w:t>
            </w:r>
            <w:r w:rsidRPr="001759E9">
              <w:rPr>
                <w:color w:val="FF0000"/>
              </w:rPr>
              <w:t>YES (via AABR)</w:t>
            </w:r>
          </w:p>
          <w:p w14:paraId="360E67EF" w14:textId="77777777" w:rsidR="001759E9" w:rsidRPr="001759E9" w:rsidRDefault="001759E9" w:rsidP="001759E9">
            <w:pPr>
              <w:rPr>
                <w:color w:val="FF0000"/>
              </w:rPr>
            </w:pPr>
            <w:r w:rsidRPr="001759E9">
              <w:t xml:space="preserve">What are your criteria for rescreening (certain </w:t>
            </w:r>
            <w:proofErr w:type="spellStart"/>
            <w:r w:rsidRPr="001759E9">
              <w:t>bili</w:t>
            </w:r>
            <w:proofErr w:type="spellEnd"/>
            <w:r w:rsidRPr="001759E9">
              <w:t xml:space="preserve"> level?) </w:t>
            </w:r>
            <w:r w:rsidRPr="001759E9">
              <w:rPr>
                <w:color w:val="FF0000"/>
              </w:rPr>
              <w:t xml:space="preserve">YES: we will rescreen any baby with a 20+ on </w:t>
            </w:r>
            <w:proofErr w:type="spellStart"/>
            <w:r w:rsidRPr="001759E9">
              <w:rPr>
                <w:color w:val="FF0000"/>
              </w:rPr>
              <w:t>bili</w:t>
            </w:r>
            <w:proofErr w:type="spellEnd"/>
            <w:r w:rsidRPr="001759E9">
              <w:rPr>
                <w:color w:val="FF0000"/>
              </w:rPr>
              <w:t xml:space="preserve"> levels</w:t>
            </w:r>
          </w:p>
          <w:p w14:paraId="61B5FEF5" w14:textId="09081A6F" w:rsidR="001759E9" w:rsidRPr="001759E9" w:rsidRDefault="001759E9" w:rsidP="001759E9">
            <w:pPr>
              <w:rPr>
                <w:color w:val="FF0000"/>
              </w:rPr>
            </w:pPr>
            <w:r w:rsidRPr="001759E9">
              <w:t xml:space="preserve">completing diagnostic ABRs on babies with hyperbilirubinemia? </w:t>
            </w:r>
            <w:r w:rsidRPr="001759E9">
              <w:rPr>
                <w:color w:val="FF0000"/>
              </w:rPr>
              <w:t xml:space="preserve">NO unless they do not pass the AABR after high </w:t>
            </w:r>
            <w:proofErr w:type="spellStart"/>
            <w:r w:rsidRPr="001759E9">
              <w:rPr>
                <w:color w:val="FF0000"/>
              </w:rPr>
              <w:t>bili</w:t>
            </w:r>
            <w:proofErr w:type="spellEnd"/>
            <w:r w:rsidRPr="001759E9">
              <w:rPr>
                <w:color w:val="FF0000"/>
              </w:rPr>
              <w:t xml:space="preserve"> levels. Then we will do a natural sleep ABR as an outpatient. If they are in the NICU 5+days and passed the AABR after having high </w:t>
            </w:r>
            <w:proofErr w:type="spellStart"/>
            <w:r w:rsidRPr="001759E9">
              <w:rPr>
                <w:color w:val="FF0000"/>
              </w:rPr>
              <w:t>bili</w:t>
            </w:r>
            <w:proofErr w:type="spellEnd"/>
            <w:r w:rsidRPr="001759E9">
              <w:rPr>
                <w:color w:val="FF0000"/>
              </w:rPr>
              <w:t xml:space="preserve"> we do our regular </w:t>
            </w:r>
            <w:proofErr w:type="gramStart"/>
            <w:r w:rsidRPr="001759E9">
              <w:rPr>
                <w:color w:val="FF0000"/>
              </w:rPr>
              <w:t>6-9 month</w:t>
            </w:r>
            <w:proofErr w:type="gramEnd"/>
            <w:r w:rsidRPr="001759E9">
              <w:rPr>
                <w:color w:val="FF0000"/>
              </w:rPr>
              <w:t xml:space="preserve"> follow-up </w:t>
            </w:r>
          </w:p>
          <w:p w14:paraId="01E51097" w14:textId="3F80185E" w:rsidR="001759E9" w:rsidRDefault="001759E9" w:rsidP="001759E9"/>
        </w:tc>
      </w:tr>
      <w:tr w:rsidR="001759E9" w14:paraId="77177D5A" w14:textId="77777777" w:rsidTr="001759E9">
        <w:tc>
          <w:tcPr>
            <w:tcW w:w="4675" w:type="dxa"/>
          </w:tcPr>
          <w:p w14:paraId="417D869E" w14:textId="743D1807" w:rsidR="001759E9" w:rsidRDefault="007730FC" w:rsidP="001759E9">
            <w:r>
              <w:t>ORG C</w:t>
            </w:r>
          </w:p>
        </w:tc>
        <w:tc>
          <w:tcPr>
            <w:tcW w:w="4675" w:type="dxa"/>
          </w:tcPr>
          <w:p w14:paraId="664518D5" w14:textId="77777777" w:rsidR="001759E9" w:rsidRPr="001759E9" w:rsidRDefault="001759E9" w:rsidP="001759E9">
            <w:r w:rsidRPr="001759E9">
              <w:t xml:space="preserve">Our current state guidelines are now based on whether or not the baby had an exchange transfusion.  If there was a </w:t>
            </w:r>
            <w:proofErr w:type="gramStart"/>
            <w:r w:rsidRPr="001759E9">
              <w:t>transfusion</w:t>
            </w:r>
            <w:proofErr w:type="gramEnd"/>
            <w:r w:rsidRPr="001759E9">
              <w:t xml:space="preserve"> we will run a diagnostic ABR by 3 months of age.</w:t>
            </w:r>
          </w:p>
          <w:p w14:paraId="07A24401" w14:textId="77777777" w:rsidR="001759E9" w:rsidRDefault="001759E9" w:rsidP="001759E9"/>
        </w:tc>
      </w:tr>
      <w:tr w:rsidR="001759E9" w14:paraId="190AF2C8" w14:textId="77777777" w:rsidTr="001759E9">
        <w:tc>
          <w:tcPr>
            <w:tcW w:w="4675" w:type="dxa"/>
          </w:tcPr>
          <w:p w14:paraId="4D545AFA" w14:textId="37940F95" w:rsidR="001759E9" w:rsidRDefault="007730FC" w:rsidP="001759E9">
            <w:r>
              <w:t>ORG D</w:t>
            </w:r>
          </w:p>
        </w:tc>
        <w:tc>
          <w:tcPr>
            <w:tcW w:w="4675" w:type="dxa"/>
          </w:tcPr>
          <w:p w14:paraId="50D71CB2" w14:textId="0B9E1D40" w:rsidR="001759E9" w:rsidRDefault="001759E9" w:rsidP="001759E9">
            <w:r>
              <w:t xml:space="preserve">At </w:t>
            </w:r>
            <w:r w:rsidR="007730FC">
              <w:t>ORG D</w:t>
            </w:r>
            <w:r>
              <w:t xml:space="preserve">:  </w:t>
            </w:r>
            <w:r w:rsidRPr="001759E9">
              <w:t xml:space="preserve">we do have a policy to rescreen readmissions in the first month of life for all infants that have a </w:t>
            </w:r>
            <w:proofErr w:type="spellStart"/>
            <w:r w:rsidRPr="001759E9">
              <w:t>bili</w:t>
            </w:r>
            <w:proofErr w:type="spellEnd"/>
            <w:r w:rsidRPr="001759E9">
              <w:t xml:space="preserve"> level of </w:t>
            </w:r>
            <w:r w:rsidRPr="001759E9">
              <w:rPr>
                <w:u w:val="single"/>
              </w:rPr>
              <w:t xml:space="preserve">&gt; </w:t>
            </w:r>
            <w:r w:rsidRPr="001759E9">
              <w:t>35mg/dL and/or exchange transfusion or culture positive sepsis. If an inpatient physician requests a rescreen and the levels are not quite this high, we still perform the rescreen.</w:t>
            </w:r>
          </w:p>
          <w:p w14:paraId="0DC8A85B" w14:textId="77777777" w:rsidR="001759E9" w:rsidRDefault="001759E9" w:rsidP="001759E9"/>
          <w:p w14:paraId="2AEAE0DE" w14:textId="4073A665" w:rsidR="001759E9" w:rsidRDefault="001759E9" w:rsidP="001759E9">
            <w:r>
              <w:lastRenderedPageBreak/>
              <w:t>At outside PC contracted hospitals:</w:t>
            </w:r>
          </w:p>
          <w:p w14:paraId="0FC2D5EF" w14:textId="77777777" w:rsidR="001759E9" w:rsidRPr="001759E9" w:rsidRDefault="001759E9" w:rsidP="001759E9">
            <w:r w:rsidRPr="001759E9">
              <w:t>this type of detail is not in the different hospital policies. But since it is the PC Neonatologists at these sites, they often follow these same PC policies. The screeners know to reach out to the supervisor and/or audiologist about any rescreens if the reason is unclear or if the request seems odd.  I think most of the screeners would rescreen a readmit with high-</w:t>
            </w:r>
            <w:proofErr w:type="spellStart"/>
            <w:r w:rsidRPr="001759E9">
              <w:t>bili</w:t>
            </w:r>
            <w:proofErr w:type="spellEnd"/>
            <w:r w:rsidRPr="001759E9">
              <w:t xml:space="preserve"> if asked by the medical team. </w:t>
            </w:r>
          </w:p>
          <w:p w14:paraId="705748DD" w14:textId="77777777" w:rsidR="001759E9" w:rsidRPr="001759E9" w:rsidRDefault="001759E9" w:rsidP="001759E9"/>
          <w:p w14:paraId="383309C7" w14:textId="6774B101" w:rsidR="001759E9" w:rsidRDefault="001759E9" w:rsidP="001759E9"/>
        </w:tc>
      </w:tr>
      <w:tr w:rsidR="001759E9" w14:paraId="7F5B65B9" w14:textId="77777777" w:rsidTr="001759E9">
        <w:tc>
          <w:tcPr>
            <w:tcW w:w="4675" w:type="dxa"/>
          </w:tcPr>
          <w:p w14:paraId="5410B42D" w14:textId="61BD6D1F" w:rsidR="001759E9" w:rsidRDefault="007730FC" w:rsidP="001759E9">
            <w:r>
              <w:lastRenderedPageBreak/>
              <w:t>ORG E</w:t>
            </w:r>
          </w:p>
        </w:tc>
        <w:tc>
          <w:tcPr>
            <w:tcW w:w="4675" w:type="dxa"/>
          </w:tcPr>
          <w:p w14:paraId="1020B323" w14:textId="77777777" w:rsidR="001759E9" w:rsidRPr="001759E9" w:rsidRDefault="001759E9" w:rsidP="001759E9">
            <w:r w:rsidRPr="001759E9">
              <w:t>We do not rescreen babies with a risk factor of hyperbilirubinemia. We recommend following up with PCP at 9 months of age to discuss appropriate acquisition of developmental mile stones and referring back to audiology if there is a concern. If a baby HAS hyperbilirubinemia, we will complete a DX ABR prior to discharge from the NICU. Follow up would be dependent on the ABR results.</w:t>
            </w:r>
          </w:p>
          <w:p w14:paraId="1FDD142B" w14:textId="77777777" w:rsidR="001759E9" w:rsidRDefault="001759E9" w:rsidP="001759E9"/>
        </w:tc>
      </w:tr>
      <w:tr w:rsidR="001759E9" w14:paraId="744597E8" w14:textId="77777777" w:rsidTr="001759E9">
        <w:tc>
          <w:tcPr>
            <w:tcW w:w="4675" w:type="dxa"/>
          </w:tcPr>
          <w:p w14:paraId="705A5B92" w14:textId="7605122E" w:rsidR="001759E9" w:rsidRDefault="007730FC" w:rsidP="001759E9">
            <w:r>
              <w:t>ORG F</w:t>
            </w:r>
          </w:p>
        </w:tc>
        <w:tc>
          <w:tcPr>
            <w:tcW w:w="4675" w:type="dxa"/>
          </w:tcPr>
          <w:p w14:paraId="5577E97F" w14:textId="1D1159B0" w:rsidR="001759E9" w:rsidRDefault="001759E9" w:rsidP="001759E9">
            <w:r w:rsidRPr="001759E9">
              <w:t xml:space="preserve">Readmission for </w:t>
            </w:r>
            <w:proofErr w:type="spellStart"/>
            <w:r w:rsidRPr="001759E9">
              <w:t>hyperbili</w:t>
            </w:r>
            <w:proofErr w:type="spellEnd"/>
            <w:r w:rsidRPr="001759E9">
              <w:t xml:space="preserve"> and/or levels warranting a transfusion always warrants a rescreen, otherwise it is at the discretion of the provider. During our NICU education, we recommended if a transfusion is being considered, to also consider a rescreen. Unfortunately, there is no specific level guidance from JCIH</w:t>
            </w:r>
          </w:p>
        </w:tc>
      </w:tr>
      <w:tr w:rsidR="001759E9" w14:paraId="4E68FC4F" w14:textId="77777777" w:rsidTr="001759E9">
        <w:tc>
          <w:tcPr>
            <w:tcW w:w="4675" w:type="dxa"/>
          </w:tcPr>
          <w:p w14:paraId="2CE19944" w14:textId="40474167" w:rsidR="001759E9" w:rsidRDefault="007730FC" w:rsidP="001759E9">
            <w:r>
              <w:t>ORG G</w:t>
            </w:r>
          </w:p>
        </w:tc>
        <w:tc>
          <w:tcPr>
            <w:tcW w:w="4675" w:type="dxa"/>
          </w:tcPr>
          <w:p w14:paraId="63D98919" w14:textId="77777777" w:rsidR="001759E9" w:rsidRPr="001759E9" w:rsidRDefault="001759E9" w:rsidP="001759E9">
            <w:r w:rsidRPr="001759E9">
              <w:t xml:space="preserve">We re-screen based </w:t>
            </w:r>
            <w:proofErr w:type="spellStart"/>
            <w:r w:rsidRPr="001759E9">
              <w:t>bili</w:t>
            </w:r>
            <w:proofErr w:type="spellEnd"/>
            <w:r w:rsidRPr="001759E9">
              <w:t xml:space="preserve"> level even if baby passed at the birth hospital. Our level is 18. And it's just an AABR unless there would be any other risk factors to warrant the diagnostic. We only recommend these babies return for follow-up in 9-12 months if they spent longer than 5 days in the NICU.</w:t>
            </w:r>
          </w:p>
          <w:p w14:paraId="65C19473" w14:textId="77777777" w:rsidR="001759E9" w:rsidRDefault="001759E9" w:rsidP="001759E9"/>
        </w:tc>
      </w:tr>
      <w:tr w:rsidR="001759E9" w14:paraId="047BF992" w14:textId="77777777" w:rsidTr="001759E9">
        <w:tc>
          <w:tcPr>
            <w:tcW w:w="4675" w:type="dxa"/>
          </w:tcPr>
          <w:p w14:paraId="2CA43832" w14:textId="76426C43" w:rsidR="001759E9" w:rsidRDefault="007730FC" w:rsidP="001759E9">
            <w:r>
              <w:t>ORG H</w:t>
            </w:r>
          </w:p>
        </w:tc>
        <w:tc>
          <w:tcPr>
            <w:tcW w:w="4675" w:type="dxa"/>
          </w:tcPr>
          <w:p w14:paraId="7D49D13E" w14:textId="77777777" w:rsidR="001759E9" w:rsidRPr="001759E9" w:rsidRDefault="001759E9" w:rsidP="001759E9">
            <w:r w:rsidRPr="001759E9">
              <w:t xml:space="preserve">If pass, then re-admitted with high </w:t>
            </w:r>
            <w:proofErr w:type="spellStart"/>
            <w:r w:rsidRPr="001759E9">
              <w:t>bili</w:t>
            </w:r>
            <w:proofErr w:type="spellEnd"/>
            <w:r w:rsidRPr="001759E9">
              <w:t xml:space="preserve"> then we do OAEs and then ABR if necessary.</w:t>
            </w:r>
          </w:p>
          <w:p w14:paraId="13ED2D8A" w14:textId="77777777" w:rsidR="001759E9" w:rsidRPr="001759E9" w:rsidRDefault="001759E9" w:rsidP="001759E9"/>
          <w:p w14:paraId="0CF8BDE9" w14:textId="77777777" w:rsidR="001759E9" w:rsidRPr="001759E9" w:rsidRDefault="001759E9" w:rsidP="001759E9">
            <w:r w:rsidRPr="001759E9">
              <w:t xml:space="preserve">Otherwise, our pass UNHS with high </w:t>
            </w:r>
            <w:proofErr w:type="spellStart"/>
            <w:r w:rsidRPr="001759E9">
              <w:t>bili</w:t>
            </w:r>
            <w:proofErr w:type="spellEnd"/>
            <w:r w:rsidRPr="001759E9">
              <w:t xml:space="preserve"> will be pass at risk with f/u at 7-9 months of age. </w:t>
            </w:r>
          </w:p>
          <w:p w14:paraId="3D9A3EA7" w14:textId="77777777" w:rsidR="001759E9" w:rsidRPr="001759E9" w:rsidRDefault="001759E9" w:rsidP="001759E9"/>
          <w:p w14:paraId="330C934F" w14:textId="77777777" w:rsidR="001759E9" w:rsidRDefault="001759E9" w:rsidP="001759E9"/>
        </w:tc>
      </w:tr>
      <w:tr w:rsidR="001759E9" w14:paraId="167E3031" w14:textId="77777777" w:rsidTr="001759E9">
        <w:tc>
          <w:tcPr>
            <w:tcW w:w="4675" w:type="dxa"/>
          </w:tcPr>
          <w:p w14:paraId="23220E89" w14:textId="2C5945A0" w:rsidR="001759E9" w:rsidRDefault="007730FC" w:rsidP="001759E9">
            <w:r>
              <w:t>ORG I</w:t>
            </w:r>
          </w:p>
        </w:tc>
        <w:tc>
          <w:tcPr>
            <w:tcW w:w="4675" w:type="dxa"/>
          </w:tcPr>
          <w:p w14:paraId="3D8A265F" w14:textId="7015118F" w:rsidR="00496E83" w:rsidRPr="00496E83" w:rsidRDefault="00496E83" w:rsidP="00496E83">
            <w:r w:rsidRPr="00496E83">
              <w:t xml:space="preserve">All babies re-admitted for hyperbilirubinemia within the first month of life receive a rescreen. </w:t>
            </w:r>
            <w:r w:rsidRPr="00496E83">
              <w:lastRenderedPageBreak/>
              <w:t xml:space="preserve">At </w:t>
            </w:r>
            <w:r w:rsidR="007730FC">
              <w:t>ORG I</w:t>
            </w:r>
            <w:r w:rsidRPr="00496E83">
              <w:t xml:space="preserve">, babies are screened using diagnostic equipment so if they fail the screening, further diagnostic testing would be completed at that time. Excerpt from </w:t>
            </w:r>
            <w:r w:rsidR="007730FC">
              <w:t>ORG I</w:t>
            </w:r>
            <w:r w:rsidRPr="00496E83">
              <w:t xml:space="preserve"> Practice Guidelines:</w:t>
            </w:r>
          </w:p>
          <w:p w14:paraId="77EEE5FF" w14:textId="77777777" w:rsidR="00496E83" w:rsidRPr="00496E83" w:rsidRDefault="00496E83" w:rsidP="00496E83">
            <w:r w:rsidRPr="00496E83">
              <w:t> </w:t>
            </w:r>
          </w:p>
          <w:p w14:paraId="22FA5F86" w14:textId="77777777" w:rsidR="00496E83" w:rsidRPr="00496E83" w:rsidRDefault="00496E83" w:rsidP="00496E83">
            <w:r w:rsidRPr="00496E83">
              <w:t xml:space="preserve">If a patient is re-admitted for hyperbilirubinemia within the first month of life, regardless of treatment, ABR screening should be completed (JCIH, 2019). </w:t>
            </w:r>
          </w:p>
          <w:p w14:paraId="7A2F6321" w14:textId="77777777" w:rsidR="00496E83" w:rsidRPr="00496E83" w:rsidRDefault="00496E83" w:rsidP="00496E83">
            <w:r w:rsidRPr="00496E83">
              <w:t> </w:t>
            </w:r>
          </w:p>
          <w:p w14:paraId="06FAE5D3" w14:textId="77777777" w:rsidR="00496E83" w:rsidRPr="00496E83" w:rsidRDefault="00496E83" w:rsidP="00496E83">
            <w:r w:rsidRPr="00496E83">
              <w:t>Surveillance</w:t>
            </w:r>
          </w:p>
          <w:p w14:paraId="624F7471" w14:textId="77777777" w:rsidR="00496E83" w:rsidRPr="00496E83" w:rsidRDefault="00496E83" w:rsidP="00496E83">
            <w:r w:rsidRPr="00496E83">
              <w:t>a. Passed ABR screening or normal diagnostic test results, follow-up in 9-12 months if in the NICU &gt;5 days, or with medical home if NICU &lt; 5 days</w:t>
            </w:r>
          </w:p>
          <w:p w14:paraId="1D32F403" w14:textId="77777777" w:rsidR="00496E83" w:rsidRPr="00496E83" w:rsidRDefault="00496E83" w:rsidP="00496E83">
            <w:r w:rsidRPr="00496E83">
              <w:t xml:space="preserve">ii. Diagnostic audiologic evaluation follow-up by 9 months of age if patient received DVET (JCIH, </w:t>
            </w:r>
          </w:p>
          <w:p w14:paraId="46C7CC37" w14:textId="77777777" w:rsidR="00496E83" w:rsidRPr="00496E83" w:rsidRDefault="00496E83" w:rsidP="00496E83">
            <w:r w:rsidRPr="00496E83">
              <w:t>2019).</w:t>
            </w:r>
          </w:p>
          <w:p w14:paraId="79F22B80" w14:textId="77777777" w:rsidR="00496E83" w:rsidRPr="00496E83" w:rsidRDefault="00496E83" w:rsidP="00496E83">
            <w:r w:rsidRPr="00496E83">
              <w:t>b. Abnormal ABR during NICU admission</w:t>
            </w:r>
          </w:p>
          <w:p w14:paraId="5A7BBF51" w14:textId="77777777" w:rsidR="00496E83" w:rsidRPr="00496E83" w:rsidRDefault="00496E83" w:rsidP="00496E83">
            <w:r w:rsidRPr="00496E83">
              <w:t xml:space="preserve">i. Serial ABR evaluations are warranted to monitor for reversible bilirubin-induced hearing loss </w:t>
            </w:r>
          </w:p>
          <w:p w14:paraId="58675CF7" w14:textId="77777777" w:rsidR="00496E83" w:rsidRPr="00496E83" w:rsidRDefault="00496E83" w:rsidP="00496E83">
            <w:r w:rsidRPr="00496E83">
              <w:t>(Nam, et al., 2019).</w:t>
            </w:r>
          </w:p>
          <w:p w14:paraId="10666812" w14:textId="77777777" w:rsidR="00496E83" w:rsidRPr="00496E83" w:rsidRDefault="00496E83" w:rsidP="00496E83">
            <w:r w:rsidRPr="00496E83">
              <w:t xml:space="preserve">ii. If results are consistent with ANSD, follow the ANSD Guideline for timing of serial </w:t>
            </w:r>
          </w:p>
          <w:p w14:paraId="43B32313" w14:textId="77777777" w:rsidR="00496E83" w:rsidRPr="00496E83" w:rsidRDefault="00496E83" w:rsidP="00496E83">
            <w:r w:rsidRPr="00496E83">
              <w:t>ABR evaluations.</w:t>
            </w:r>
          </w:p>
          <w:p w14:paraId="4A557402" w14:textId="77777777" w:rsidR="00496E83" w:rsidRPr="00496E83" w:rsidRDefault="00496E83" w:rsidP="00496E83">
            <w:r w:rsidRPr="00496E83">
              <w:t xml:space="preserve">iii. If results are consistent with sensorineural hearing loss (SNHL), refer to Otolaryngology for SNHL </w:t>
            </w:r>
          </w:p>
          <w:p w14:paraId="4B503DFA" w14:textId="77777777" w:rsidR="00496E83" w:rsidRPr="00496E83" w:rsidRDefault="00496E83" w:rsidP="00496E83">
            <w:r w:rsidRPr="00496E83">
              <w:t>work-up.</w:t>
            </w:r>
          </w:p>
          <w:p w14:paraId="6C9475F5" w14:textId="77777777" w:rsidR="001759E9" w:rsidRDefault="001759E9" w:rsidP="001759E9"/>
        </w:tc>
      </w:tr>
    </w:tbl>
    <w:p w14:paraId="1C49697D" w14:textId="194D6BCB" w:rsidR="001759E9" w:rsidRDefault="001759E9" w:rsidP="001759E9"/>
    <w:sectPr w:rsidR="001759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32B8C" w14:textId="77777777" w:rsidR="000A7F42" w:rsidRDefault="000A7F42" w:rsidP="001759E9">
      <w:pPr>
        <w:spacing w:after="0" w:line="240" w:lineRule="auto"/>
      </w:pPr>
      <w:r>
        <w:separator/>
      </w:r>
    </w:p>
  </w:endnote>
  <w:endnote w:type="continuationSeparator" w:id="0">
    <w:p w14:paraId="10B1F03F" w14:textId="77777777" w:rsidR="000A7F42" w:rsidRDefault="000A7F42" w:rsidP="00175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E1767" w14:textId="77777777" w:rsidR="000A7F42" w:rsidRDefault="000A7F42" w:rsidP="001759E9">
      <w:pPr>
        <w:spacing w:after="0" w:line="240" w:lineRule="auto"/>
      </w:pPr>
      <w:r>
        <w:separator/>
      </w:r>
    </w:p>
  </w:footnote>
  <w:footnote w:type="continuationSeparator" w:id="0">
    <w:p w14:paraId="0673571A" w14:textId="77777777" w:rsidR="000A7F42" w:rsidRDefault="000A7F42" w:rsidP="001759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C1D08"/>
    <w:multiLevelType w:val="hybridMultilevel"/>
    <w:tmpl w:val="0CB4C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9E9"/>
    <w:rsid w:val="000A7F42"/>
    <w:rsid w:val="00112044"/>
    <w:rsid w:val="001759E9"/>
    <w:rsid w:val="00281B28"/>
    <w:rsid w:val="003434D4"/>
    <w:rsid w:val="00496E83"/>
    <w:rsid w:val="007730FC"/>
    <w:rsid w:val="00962389"/>
    <w:rsid w:val="00BB5B3E"/>
    <w:rsid w:val="00BF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D6A4A"/>
  <w15:chartTrackingRefBased/>
  <w15:docId w15:val="{6105EF95-BF86-48F0-9BB9-091D10E14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5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59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9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9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9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9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9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9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9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59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59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9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9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9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9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9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9E9"/>
    <w:rPr>
      <w:rFonts w:eastAsiaTheme="majorEastAsia" w:cstheme="majorBidi"/>
      <w:color w:val="272727" w:themeColor="text1" w:themeTint="D8"/>
    </w:rPr>
  </w:style>
  <w:style w:type="paragraph" w:styleId="Title">
    <w:name w:val="Title"/>
    <w:basedOn w:val="Normal"/>
    <w:next w:val="Normal"/>
    <w:link w:val="TitleChar"/>
    <w:uiPriority w:val="10"/>
    <w:qFormat/>
    <w:rsid w:val="00175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9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9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9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9E9"/>
    <w:pPr>
      <w:spacing w:before="160"/>
      <w:jc w:val="center"/>
    </w:pPr>
    <w:rPr>
      <w:i/>
      <w:iCs/>
      <w:color w:val="404040" w:themeColor="text1" w:themeTint="BF"/>
    </w:rPr>
  </w:style>
  <w:style w:type="character" w:customStyle="1" w:styleId="QuoteChar">
    <w:name w:val="Quote Char"/>
    <w:basedOn w:val="DefaultParagraphFont"/>
    <w:link w:val="Quote"/>
    <w:uiPriority w:val="29"/>
    <w:rsid w:val="001759E9"/>
    <w:rPr>
      <w:i/>
      <w:iCs/>
      <w:color w:val="404040" w:themeColor="text1" w:themeTint="BF"/>
    </w:rPr>
  </w:style>
  <w:style w:type="paragraph" w:styleId="ListParagraph">
    <w:name w:val="List Paragraph"/>
    <w:basedOn w:val="Normal"/>
    <w:uiPriority w:val="34"/>
    <w:qFormat/>
    <w:rsid w:val="001759E9"/>
    <w:pPr>
      <w:ind w:left="720"/>
      <w:contextualSpacing/>
    </w:pPr>
  </w:style>
  <w:style w:type="character" w:styleId="IntenseEmphasis">
    <w:name w:val="Intense Emphasis"/>
    <w:basedOn w:val="DefaultParagraphFont"/>
    <w:uiPriority w:val="21"/>
    <w:qFormat/>
    <w:rsid w:val="001759E9"/>
    <w:rPr>
      <w:i/>
      <w:iCs/>
      <w:color w:val="0F4761" w:themeColor="accent1" w:themeShade="BF"/>
    </w:rPr>
  </w:style>
  <w:style w:type="paragraph" w:styleId="IntenseQuote">
    <w:name w:val="Intense Quote"/>
    <w:basedOn w:val="Normal"/>
    <w:next w:val="Normal"/>
    <w:link w:val="IntenseQuoteChar"/>
    <w:uiPriority w:val="30"/>
    <w:qFormat/>
    <w:rsid w:val="001759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9E9"/>
    <w:rPr>
      <w:i/>
      <w:iCs/>
      <w:color w:val="0F4761" w:themeColor="accent1" w:themeShade="BF"/>
    </w:rPr>
  </w:style>
  <w:style w:type="character" w:styleId="IntenseReference">
    <w:name w:val="Intense Reference"/>
    <w:basedOn w:val="DefaultParagraphFont"/>
    <w:uiPriority w:val="32"/>
    <w:qFormat/>
    <w:rsid w:val="001759E9"/>
    <w:rPr>
      <w:b/>
      <w:bCs/>
      <w:smallCaps/>
      <w:color w:val="0F4761" w:themeColor="accent1" w:themeShade="BF"/>
      <w:spacing w:val="5"/>
    </w:rPr>
  </w:style>
  <w:style w:type="table" w:styleId="TableGrid">
    <w:name w:val="Table Grid"/>
    <w:basedOn w:val="TableNormal"/>
    <w:uiPriority w:val="39"/>
    <w:rsid w:val="00175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59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9E9"/>
  </w:style>
  <w:style w:type="paragraph" w:styleId="Footer">
    <w:name w:val="footer"/>
    <w:basedOn w:val="Normal"/>
    <w:link w:val="FooterChar"/>
    <w:uiPriority w:val="99"/>
    <w:unhideWhenUsed/>
    <w:rsid w:val="001759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9780">
      <w:bodyDiv w:val="1"/>
      <w:marLeft w:val="0"/>
      <w:marRight w:val="0"/>
      <w:marTop w:val="0"/>
      <w:marBottom w:val="0"/>
      <w:divBdr>
        <w:top w:val="none" w:sz="0" w:space="0" w:color="auto"/>
        <w:left w:val="none" w:sz="0" w:space="0" w:color="auto"/>
        <w:bottom w:val="none" w:sz="0" w:space="0" w:color="auto"/>
        <w:right w:val="none" w:sz="0" w:space="0" w:color="auto"/>
      </w:divBdr>
    </w:div>
    <w:div w:id="225341951">
      <w:bodyDiv w:val="1"/>
      <w:marLeft w:val="0"/>
      <w:marRight w:val="0"/>
      <w:marTop w:val="0"/>
      <w:marBottom w:val="0"/>
      <w:divBdr>
        <w:top w:val="none" w:sz="0" w:space="0" w:color="auto"/>
        <w:left w:val="none" w:sz="0" w:space="0" w:color="auto"/>
        <w:bottom w:val="none" w:sz="0" w:space="0" w:color="auto"/>
        <w:right w:val="none" w:sz="0" w:space="0" w:color="auto"/>
      </w:divBdr>
    </w:div>
    <w:div w:id="278948662">
      <w:bodyDiv w:val="1"/>
      <w:marLeft w:val="0"/>
      <w:marRight w:val="0"/>
      <w:marTop w:val="0"/>
      <w:marBottom w:val="0"/>
      <w:divBdr>
        <w:top w:val="none" w:sz="0" w:space="0" w:color="auto"/>
        <w:left w:val="none" w:sz="0" w:space="0" w:color="auto"/>
        <w:bottom w:val="none" w:sz="0" w:space="0" w:color="auto"/>
        <w:right w:val="none" w:sz="0" w:space="0" w:color="auto"/>
      </w:divBdr>
    </w:div>
    <w:div w:id="295841933">
      <w:bodyDiv w:val="1"/>
      <w:marLeft w:val="0"/>
      <w:marRight w:val="0"/>
      <w:marTop w:val="0"/>
      <w:marBottom w:val="0"/>
      <w:divBdr>
        <w:top w:val="none" w:sz="0" w:space="0" w:color="auto"/>
        <w:left w:val="none" w:sz="0" w:space="0" w:color="auto"/>
        <w:bottom w:val="none" w:sz="0" w:space="0" w:color="auto"/>
        <w:right w:val="none" w:sz="0" w:space="0" w:color="auto"/>
      </w:divBdr>
    </w:div>
    <w:div w:id="355695406">
      <w:bodyDiv w:val="1"/>
      <w:marLeft w:val="0"/>
      <w:marRight w:val="0"/>
      <w:marTop w:val="0"/>
      <w:marBottom w:val="0"/>
      <w:divBdr>
        <w:top w:val="none" w:sz="0" w:space="0" w:color="auto"/>
        <w:left w:val="none" w:sz="0" w:space="0" w:color="auto"/>
        <w:bottom w:val="none" w:sz="0" w:space="0" w:color="auto"/>
        <w:right w:val="none" w:sz="0" w:space="0" w:color="auto"/>
      </w:divBdr>
    </w:div>
    <w:div w:id="501241894">
      <w:bodyDiv w:val="1"/>
      <w:marLeft w:val="0"/>
      <w:marRight w:val="0"/>
      <w:marTop w:val="0"/>
      <w:marBottom w:val="0"/>
      <w:divBdr>
        <w:top w:val="none" w:sz="0" w:space="0" w:color="auto"/>
        <w:left w:val="none" w:sz="0" w:space="0" w:color="auto"/>
        <w:bottom w:val="none" w:sz="0" w:space="0" w:color="auto"/>
        <w:right w:val="none" w:sz="0" w:space="0" w:color="auto"/>
      </w:divBdr>
    </w:div>
    <w:div w:id="681081535">
      <w:bodyDiv w:val="1"/>
      <w:marLeft w:val="0"/>
      <w:marRight w:val="0"/>
      <w:marTop w:val="0"/>
      <w:marBottom w:val="0"/>
      <w:divBdr>
        <w:top w:val="none" w:sz="0" w:space="0" w:color="auto"/>
        <w:left w:val="none" w:sz="0" w:space="0" w:color="auto"/>
        <w:bottom w:val="none" w:sz="0" w:space="0" w:color="auto"/>
        <w:right w:val="none" w:sz="0" w:space="0" w:color="auto"/>
      </w:divBdr>
    </w:div>
    <w:div w:id="713507382">
      <w:bodyDiv w:val="1"/>
      <w:marLeft w:val="0"/>
      <w:marRight w:val="0"/>
      <w:marTop w:val="0"/>
      <w:marBottom w:val="0"/>
      <w:divBdr>
        <w:top w:val="none" w:sz="0" w:space="0" w:color="auto"/>
        <w:left w:val="none" w:sz="0" w:space="0" w:color="auto"/>
        <w:bottom w:val="none" w:sz="0" w:space="0" w:color="auto"/>
        <w:right w:val="none" w:sz="0" w:space="0" w:color="auto"/>
      </w:divBdr>
    </w:div>
    <w:div w:id="749885481">
      <w:bodyDiv w:val="1"/>
      <w:marLeft w:val="0"/>
      <w:marRight w:val="0"/>
      <w:marTop w:val="0"/>
      <w:marBottom w:val="0"/>
      <w:divBdr>
        <w:top w:val="none" w:sz="0" w:space="0" w:color="auto"/>
        <w:left w:val="none" w:sz="0" w:space="0" w:color="auto"/>
        <w:bottom w:val="none" w:sz="0" w:space="0" w:color="auto"/>
        <w:right w:val="none" w:sz="0" w:space="0" w:color="auto"/>
      </w:divBdr>
    </w:div>
    <w:div w:id="831527617">
      <w:bodyDiv w:val="1"/>
      <w:marLeft w:val="0"/>
      <w:marRight w:val="0"/>
      <w:marTop w:val="0"/>
      <w:marBottom w:val="0"/>
      <w:divBdr>
        <w:top w:val="none" w:sz="0" w:space="0" w:color="auto"/>
        <w:left w:val="none" w:sz="0" w:space="0" w:color="auto"/>
        <w:bottom w:val="none" w:sz="0" w:space="0" w:color="auto"/>
        <w:right w:val="none" w:sz="0" w:space="0" w:color="auto"/>
      </w:divBdr>
    </w:div>
    <w:div w:id="936255036">
      <w:bodyDiv w:val="1"/>
      <w:marLeft w:val="0"/>
      <w:marRight w:val="0"/>
      <w:marTop w:val="0"/>
      <w:marBottom w:val="0"/>
      <w:divBdr>
        <w:top w:val="none" w:sz="0" w:space="0" w:color="auto"/>
        <w:left w:val="none" w:sz="0" w:space="0" w:color="auto"/>
        <w:bottom w:val="none" w:sz="0" w:space="0" w:color="auto"/>
        <w:right w:val="none" w:sz="0" w:space="0" w:color="auto"/>
      </w:divBdr>
    </w:div>
    <w:div w:id="1258488037">
      <w:bodyDiv w:val="1"/>
      <w:marLeft w:val="0"/>
      <w:marRight w:val="0"/>
      <w:marTop w:val="0"/>
      <w:marBottom w:val="0"/>
      <w:divBdr>
        <w:top w:val="none" w:sz="0" w:space="0" w:color="auto"/>
        <w:left w:val="none" w:sz="0" w:space="0" w:color="auto"/>
        <w:bottom w:val="none" w:sz="0" w:space="0" w:color="auto"/>
        <w:right w:val="none" w:sz="0" w:space="0" w:color="auto"/>
      </w:divBdr>
    </w:div>
    <w:div w:id="1296259960">
      <w:bodyDiv w:val="1"/>
      <w:marLeft w:val="0"/>
      <w:marRight w:val="0"/>
      <w:marTop w:val="0"/>
      <w:marBottom w:val="0"/>
      <w:divBdr>
        <w:top w:val="none" w:sz="0" w:space="0" w:color="auto"/>
        <w:left w:val="none" w:sz="0" w:space="0" w:color="auto"/>
        <w:bottom w:val="none" w:sz="0" w:space="0" w:color="auto"/>
        <w:right w:val="none" w:sz="0" w:space="0" w:color="auto"/>
      </w:divBdr>
    </w:div>
    <w:div w:id="1312831436">
      <w:bodyDiv w:val="1"/>
      <w:marLeft w:val="0"/>
      <w:marRight w:val="0"/>
      <w:marTop w:val="0"/>
      <w:marBottom w:val="0"/>
      <w:divBdr>
        <w:top w:val="none" w:sz="0" w:space="0" w:color="auto"/>
        <w:left w:val="none" w:sz="0" w:space="0" w:color="auto"/>
        <w:bottom w:val="none" w:sz="0" w:space="0" w:color="auto"/>
        <w:right w:val="none" w:sz="0" w:space="0" w:color="auto"/>
      </w:divBdr>
    </w:div>
    <w:div w:id="1316494624">
      <w:bodyDiv w:val="1"/>
      <w:marLeft w:val="0"/>
      <w:marRight w:val="0"/>
      <w:marTop w:val="0"/>
      <w:marBottom w:val="0"/>
      <w:divBdr>
        <w:top w:val="none" w:sz="0" w:space="0" w:color="auto"/>
        <w:left w:val="none" w:sz="0" w:space="0" w:color="auto"/>
        <w:bottom w:val="none" w:sz="0" w:space="0" w:color="auto"/>
        <w:right w:val="none" w:sz="0" w:space="0" w:color="auto"/>
      </w:divBdr>
    </w:div>
    <w:div w:id="1395619005">
      <w:bodyDiv w:val="1"/>
      <w:marLeft w:val="0"/>
      <w:marRight w:val="0"/>
      <w:marTop w:val="0"/>
      <w:marBottom w:val="0"/>
      <w:divBdr>
        <w:top w:val="none" w:sz="0" w:space="0" w:color="auto"/>
        <w:left w:val="none" w:sz="0" w:space="0" w:color="auto"/>
        <w:bottom w:val="none" w:sz="0" w:space="0" w:color="auto"/>
        <w:right w:val="none" w:sz="0" w:space="0" w:color="auto"/>
      </w:divBdr>
    </w:div>
    <w:div w:id="1484004388">
      <w:bodyDiv w:val="1"/>
      <w:marLeft w:val="0"/>
      <w:marRight w:val="0"/>
      <w:marTop w:val="0"/>
      <w:marBottom w:val="0"/>
      <w:divBdr>
        <w:top w:val="none" w:sz="0" w:space="0" w:color="auto"/>
        <w:left w:val="none" w:sz="0" w:space="0" w:color="auto"/>
        <w:bottom w:val="none" w:sz="0" w:space="0" w:color="auto"/>
        <w:right w:val="none" w:sz="0" w:space="0" w:color="auto"/>
      </w:divBdr>
    </w:div>
    <w:div w:id="1538883503">
      <w:bodyDiv w:val="1"/>
      <w:marLeft w:val="0"/>
      <w:marRight w:val="0"/>
      <w:marTop w:val="0"/>
      <w:marBottom w:val="0"/>
      <w:divBdr>
        <w:top w:val="none" w:sz="0" w:space="0" w:color="auto"/>
        <w:left w:val="none" w:sz="0" w:space="0" w:color="auto"/>
        <w:bottom w:val="none" w:sz="0" w:space="0" w:color="auto"/>
        <w:right w:val="none" w:sz="0" w:space="0" w:color="auto"/>
      </w:divBdr>
    </w:div>
    <w:div w:id="1580139431">
      <w:bodyDiv w:val="1"/>
      <w:marLeft w:val="0"/>
      <w:marRight w:val="0"/>
      <w:marTop w:val="0"/>
      <w:marBottom w:val="0"/>
      <w:divBdr>
        <w:top w:val="none" w:sz="0" w:space="0" w:color="auto"/>
        <w:left w:val="none" w:sz="0" w:space="0" w:color="auto"/>
        <w:bottom w:val="none" w:sz="0" w:space="0" w:color="auto"/>
        <w:right w:val="none" w:sz="0" w:space="0" w:color="auto"/>
      </w:divBdr>
    </w:div>
    <w:div w:id="1713726383">
      <w:bodyDiv w:val="1"/>
      <w:marLeft w:val="0"/>
      <w:marRight w:val="0"/>
      <w:marTop w:val="0"/>
      <w:marBottom w:val="0"/>
      <w:divBdr>
        <w:top w:val="none" w:sz="0" w:space="0" w:color="auto"/>
        <w:left w:val="none" w:sz="0" w:space="0" w:color="auto"/>
        <w:bottom w:val="none" w:sz="0" w:space="0" w:color="auto"/>
        <w:right w:val="none" w:sz="0" w:space="0" w:color="auto"/>
      </w:divBdr>
    </w:div>
    <w:div w:id="1783651835">
      <w:bodyDiv w:val="1"/>
      <w:marLeft w:val="0"/>
      <w:marRight w:val="0"/>
      <w:marTop w:val="0"/>
      <w:marBottom w:val="0"/>
      <w:divBdr>
        <w:top w:val="none" w:sz="0" w:space="0" w:color="auto"/>
        <w:left w:val="none" w:sz="0" w:space="0" w:color="auto"/>
        <w:bottom w:val="none" w:sz="0" w:space="0" w:color="auto"/>
        <w:right w:val="none" w:sz="0" w:space="0" w:color="auto"/>
      </w:divBdr>
    </w:div>
    <w:div w:id="206243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Hounam, Gina</dc:creator>
  <cp:keywords/>
  <dc:description/>
  <cp:lastModifiedBy>Chobbes</cp:lastModifiedBy>
  <cp:revision>2</cp:revision>
  <dcterms:created xsi:type="dcterms:W3CDTF">2025-06-23T19:27:00Z</dcterms:created>
  <dcterms:modified xsi:type="dcterms:W3CDTF">2025-06-23T19:27:00Z</dcterms:modified>
</cp:coreProperties>
</file>